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66" w:rsidRDefault="00037266" w:rsidP="00037266">
      <w:pPr>
        <w:spacing w:after="0" w:line="240" w:lineRule="auto"/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Совета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037266" w:rsidRDefault="00037266" w:rsidP="0003726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№114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от 02 февраля 2017 года</w:t>
      </w:r>
    </w:p>
    <w:p w:rsidR="00037266" w:rsidRDefault="00037266" w:rsidP="0003726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964A2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33C9">
        <w:rPr>
          <w:rFonts w:ascii="Times New Roman" w:hAnsi="Times New Roman" w:cs="Times New Roman"/>
          <w:b/>
          <w:sz w:val="28"/>
          <w:szCs w:val="28"/>
        </w:rPr>
        <w:t>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522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Анновский</w:t>
      </w:r>
      <w:proofErr w:type="spellEnd"/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2212" w:rsidRDefault="00702DFA" w:rsidP="00522212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</w:t>
      </w:r>
      <w:proofErr w:type="gramStart"/>
      <w:r w:rsidR="00D30AAB">
        <w:rPr>
          <w:rFonts w:ascii="Times New Roman" w:hAnsi="Times New Roman" w:cs="Times New Roman"/>
          <w:sz w:val="28"/>
          <w:szCs w:val="28"/>
        </w:rPr>
        <w:t>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4A2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522212">
        <w:rPr>
          <w:rFonts w:ascii="Times New Roman" w:hAnsi="Times New Roman" w:cs="Times New Roman"/>
          <w:sz w:val="28"/>
          <w:szCs w:val="28"/>
        </w:rPr>
        <w:t>на основании решения Совета муниципального района Белебеевский район Республики Башкортостан от                     20 декабря 2012 года</w:t>
      </w:r>
      <w:proofErr w:type="gramEnd"/>
      <w:r w:rsidR="00522212">
        <w:rPr>
          <w:rFonts w:ascii="Times New Roman" w:hAnsi="Times New Roman" w:cs="Times New Roman"/>
          <w:sz w:val="28"/>
          <w:szCs w:val="28"/>
        </w:rPr>
        <w:t xml:space="preserve"> № 51,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522212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964A2A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4A2A">
        <w:rPr>
          <w:rFonts w:ascii="Times New Roman" w:hAnsi="Times New Roman" w:cs="Times New Roman"/>
          <w:sz w:val="28"/>
          <w:szCs w:val="28"/>
        </w:rPr>
        <w:t xml:space="preserve">522 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proofErr w:type="spellStart"/>
      <w:r w:rsidR="00964A2A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964A2A">
        <w:rPr>
          <w:rFonts w:ascii="Times New Roman" w:hAnsi="Times New Roman" w:cs="Times New Roman"/>
          <w:sz w:val="28"/>
          <w:szCs w:val="28"/>
        </w:rPr>
        <w:t xml:space="preserve"> </w:t>
      </w:r>
      <w:r w:rsidR="00BD07CF" w:rsidRPr="00BD07CF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468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DF468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главы 1. </w:t>
      </w:r>
      <w:proofErr w:type="gramStart"/>
      <w:r w:rsidR="00935FDA">
        <w:rPr>
          <w:rFonts w:ascii="Times New Roman" w:hAnsi="Times New Roman" w:cs="Times New Roman"/>
          <w:sz w:val="28"/>
          <w:szCs w:val="28"/>
        </w:rPr>
        <w:t>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2E33C9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proofErr w:type="spellStart"/>
      <w:r w:rsidR="004A0514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2E33C9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>сельский 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4A0514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FB68EA">
        <w:rPr>
          <w:rFonts w:ascii="Times New Roman" w:hAnsi="Times New Roman" w:cs="Times New Roman"/>
          <w:sz w:val="28"/>
          <w:szCs w:val="28"/>
        </w:rPr>
        <w:t xml:space="preserve"> сел</w:t>
      </w:r>
      <w:r w:rsidR="002E33C9">
        <w:rPr>
          <w:rFonts w:ascii="Times New Roman" w:hAnsi="Times New Roman" w:cs="Times New Roman"/>
          <w:sz w:val="28"/>
          <w:szCs w:val="28"/>
        </w:rPr>
        <w:t>ь</w:t>
      </w:r>
      <w:r w:rsidR="00FB68EA">
        <w:rPr>
          <w:rFonts w:ascii="Times New Roman" w:hAnsi="Times New Roman" w:cs="Times New Roman"/>
          <w:sz w:val="28"/>
          <w:szCs w:val="28"/>
        </w:rPr>
        <w:t>с</w:t>
      </w:r>
      <w:r w:rsidR="004A0514">
        <w:rPr>
          <w:rFonts w:ascii="Times New Roman" w:hAnsi="Times New Roman" w:cs="Times New Roman"/>
          <w:sz w:val="28"/>
          <w:szCs w:val="28"/>
        </w:rPr>
        <w:t>кий с</w:t>
      </w:r>
      <w:r w:rsidR="00FB68EA">
        <w:rPr>
          <w:rFonts w:ascii="Times New Roman" w:hAnsi="Times New Roman" w:cs="Times New Roman"/>
          <w:sz w:val="28"/>
          <w:szCs w:val="28"/>
        </w:rPr>
        <w:t xml:space="preserve">овет муниципального района Белебеевский район </w:t>
      </w:r>
      <w:r w:rsidR="00FB68E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 xml:space="preserve">блокированный жилой дом» </w:t>
      </w:r>
      <w:r w:rsidR="002E3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0B11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A0514">
        <w:rPr>
          <w:rFonts w:ascii="Times New Roman" w:hAnsi="Times New Roman" w:cs="Times New Roman"/>
          <w:sz w:val="28"/>
          <w:szCs w:val="28"/>
        </w:rPr>
        <w:t xml:space="preserve">В </w:t>
      </w:r>
      <w:r w:rsidR="00F670D6">
        <w:rPr>
          <w:rFonts w:ascii="Times New Roman" w:hAnsi="Times New Roman" w:cs="Times New Roman"/>
          <w:sz w:val="28"/>
          <w:szCs w:val="28"/>
        </w:rPr>
        <w:t>Подпункт 5</w:t>
      </w:r>
      <w:r w:rsidR="004A0514">
        <w:rPr>
          <w:rFonts w:ascii="Times New Roman" w:hAnsi="Times New Roman" w:cs="Times New Roman"/>
          <w:sz w:val="28"/>
          <w:szCs w:val="28"/>
        </w:rPr>
        <w:t>,</w:t>
      </w:r>
      <w:r w:rsidR="00F670D6">
        <w:rPr>
          <w:rFonts w:ascii="Times New Roman" w:hAnsi="Times New Roman" w:cs="Times New Roman"/>
          <w:sz w:val="28"/>
          <w:szCs w:val="28"/>
        </w:rPr>
        <w:t xml:space="preserve"> пункта 10.4</w:t>
      </w:r>
      <w:r w:rsidR="004A0514">
        <w:rPr>
          <w:rFonts w:ascii="Times New Roman" w:hAnsi="Times New Roman" w:cs="Times New Roman"/>
          <w:sz w:val="28"/>
          <w:szCs w:val="28"/>
        </w:rPr>
        <w:t>,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proofErr w:type="spellStart"/>
      <w:r w:rsidR="004A0514">
        <w:rPr>
          <w:rFonts w:ascii="Times New Roman" w:hAnsi="Times New Roman" w:cs="Times New Roman"/>
          <w:color w:val="000000" w:themeColor="text1"/>
          <w:sz w:val="28"/>
          <w:szCs w:val="28"/>
        </w:rPr>
        <w:t>Анновский</w:t>
      </w:r>
      <w:proofErr w:type="spellEnd"/>
      <w:r w:rsidR="002E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4A0514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="002E33C9">
        <w:rPr>
          <w:rFonts w:ascii="Times New Roman" w:hAnsi="Times New Roman" w:cs="Times New Roman"/>
          <w:sz w:val="28"/>
          <w:szCs w:val="28"/>
        </w:rPr>
        <w:t xml:space="preserve"> сель</w:t>
      </w:r>
      <w:r w:rsidR="00C37719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4A0514">
        <w:rPr>
          <w:rFonts w:ascii="Times New Roman" w:hAnsi="Times New Roman" w:cs="Times New Roman"/>
          <w:sz w:val="28"/>
          <w:szCs w:val="28"/>
        </w:rPr>
        <w:t>внести следующие 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7719" w:rsidRDefault="002855B7" w:rsidP="004A0514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A0514">
        <w:rPr>
          <w:rFonts w:ascii="Times New Roman" w:hAnsi="Times New Roman" w:cs="Times New Roman"/>
          <w:sz w:val="28"/>
          <w:szCs w:val="28"/>
        </w:rPr>
        <w:t>В п</w:t>
      </w:r>
      <w:r w:rsidR="00C37719">
        <w:rPr>
          <w:rFonts w:ascii="Times New Roman" w:hAnsi="Times New Roman" w:cs="Times New Roman"/>
          <w:sz w:val="28"/>
          <w:szCs w:val="28"/>
        </w:rPr>
        <w:t xml:space="preserve">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4A0514">
        <w:rPr>
          <w:rFonts w:ascii="Times New Roman" w:hAnsi="Times New Roman" w:cs="Times New Roman"/>
          <w:sz w:val="28"/>
          <w:szCs w:val="28"/>
        </w:rPr>
        <w:t>внести следующие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4A0514">
        <w:rPr>
          <w:rFonts w:ascii="Times New Roman" w:hAnsi="Times New Roman" w:cs="Times New Roman"/>
          <w:sz w:val="28"/>
          <w:szCs w:val="28"/>
        </w:rPr>
        <w:t>дополнения</w:t>
      </w:r>
      <w:r w:rsidR="00C37719">
        <w:rPr>
          <w:rFonts w:ascii="Times New Roman" w:hAnsi="Times New Roman" w:cs="Times New Roman"/>
          <w:sz w:val="28"/>
          <w:szCs w:val="28"/>
        </w:rPr>
        <w:t>:</w:t>
      </w:r>
    </w:p>
    <w:p w:rsidR="00C37719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4A0514" w:rsidP="004A0514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719" w:rsidRPr="00A860BD">
        <w:rPr>
          <w:rFonts w:ascii="Times New Roman" w:hAnsi="Times New Roman" w:cs="Times New Roman"/>
          <w:sz w:val="28"/>
          <w:szCs w:val="28"/>
        </w:rPr>
        <w:t>«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индивидуальных жилых домов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капитальных площадок общего 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7654"/>
        <w:gridCol w:w="1295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EF4D55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 размеры земельных участков и предельные параметры разрешенного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49A"/>
    <w:rsid w:val="000325AB"/>
    <w:rsid w:val="00032ADA"/>
    <w:rsid w:val="00033D2D"/>
    <w:rsid w:val="00034325"/>
    <w:rsid w:val="00036AF7"/>
    <w:rsid w:val="00036CD2"/>
    <w:rsid w:val="00037266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0514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212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2BCC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4A2A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2DEC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537F4335C171CDFB1289EEC5DB60F153FDE14A76B3857C9FB1B3A3E8831888947FCA8C5AsCE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9sCEEK" TargetMode="External"/><Relationship Id="rId5" Type="http://schemas.openxmlformats.org/officeDocument/2006/relationships/hyperlink" Target="consultantplus://offline/ref=4C537F4335C171CDFB1289EEC5DB60F153FDE14A76B3857C9FB1B3A3E8831888947FCA8C59sCE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2017-02-09T12:36:00Z</cp:lastPrinted>
  <dcterms:created xsi:type="dcterms:W3CDTF">2015-04-27T12:51:00Z</dcterms:created>
  <dcterms:modified xsi:type="dcterms:W3CDTF">2017-04-04T08:46:00Z</dcterms:modified>
</cp:coreProperties>
</file>